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50B40F08"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F34CC1">
        <w:rPr>
          <w:rFonts w:ascii="Arial" w:hAnsi="Arial" w:cs="Arial"/>
          <w:b/>
          <w:bCs/>
          <w:sz w:val="22"/>
        </w:rPr>
        <w:t>7e</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D21701">
        <w:rPr>
          <w:rFonts w:ascii="Arial" w:hAnsi="Arial" w:cs="Arial"/>
          <w:b/>
          <w:bCs/>
          <w:sz w:val="22"/>
        </w:rPr>
        <w:t>RP-</w:t>
      </w:r>
      <w:r w:rsidR="00F34CC1">
        <w:rPr>
          <w:rFonts w:ascii="Arial" w:hAnsi="Arial" w:cs="Arial"/>
          <w:b/>
          <w:bCs/>
          <w:sz w:val="22"/>
        </w:rPr>
        <w:t>2002</w:t>
      </w:r>
      <w:r w:rsidR="00943373">
        <w:rPr>
          <w:rFonts w:ascii="Arial" w:hAnsi="Arial" w:cs="Arial"/>
          <w:b/>
          <w:bCs/>
          <w:sz w:val="22"/>
        </w:rPr>
        <w:t>90</w:t>
      </w:r>
    </w:p>
    <w:p w14:paraId="0351D878" w14:textId="34B53619" w:rsidR="0066434B" w:rsidRPr="00341F45" w:rsidRDefault="00F34CC1" w:rsidP="00341F45">
      <w:pPr>
        <w:tabs>
          <w:tab w:val="left" w:pos="1985"/>
          <w:tab w:val="right" w:pos="9422"/>
        </w:tabs>
        <w:spacing w:after="0"/>
        <w:jc w:val="both"/>
        <w:rPr>
          <w:rFonts w:ascii="Arial" w:hAnsi="Arial" w:cs="Arial"/>
          <w:b/>
          <w:bCs/>
          <w:sz w:val="22"/>
        </w:rPr>
      </w:pPr>
      <w:r w:rsidRPr="00F34CC1">
        <w:rPr>
          <w:rFonts w:ascii="Arial" w:hAnsi="Arial" w:cs="Arial"/>
          <w:b/>
          <w:bCs/>
          <w:sz w:val="22"/>
        </w:rPr>
        <w:t>Electronic Meeting, March 16-19, 2020</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258644D4"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F34CC1">
        <w:rPr>
          <w:rFonts w:ascii="Arial" w:hAnsi="Arial"/>
          <w:sz w:val="22"/>
        </w:rPr>
        <w:t>9</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33D6DF3C" w:rsidR="00A77FDE" w:rsidRPr="00F34CC1" w:rsidRDefault="00A77FDE" w:rsidP="00214458">
      <w:pPr>
        <w:spacing w:after="120"/>
        <w:ind w:left="1988" w:hanging="1988"/>
        <w:rPr>
          <w:rFonts w:ascii="Arial" w:hAnsi="Arial"/>
          <w:sz w:val="22"/>
          <w:szCs w:val="22"/>
        </w:rPr>
      </w:pPr>
      <w:r w:rsidRPr="00F34CC1">
        <w:rPr>
          <w:rFonts w:ascii="Arial" w:hAnsi="Arial"/>
          <w:b/>
          <w:sz w:val="22"/>
          <w:szCs w:val="22"/>
        </w:rPr>
        <w:t>Title:</w:t>
      </w:r>
      <w:r w:rsidRPr="00F34CC1">
        <w:rPr>
          <w:rFonts w:ascii="Arial" w:hAnsi="Arial"/>
          <w:sz w:val="22"/>
          <w:szCs w:val="22"/>
        </w:rPr>
        <w:t xml:space="preserve"> </w:t>
      </w:r>
      <w:r w:rsidRPr="00F34CC1">
        <w:rPr>
          <w:rFonts w:ascii="Arial" w:hAnsi="Arial"/>
          <w:sz w:val="22"/>
          <w:szCs w:val="22"/>
        </w:rPr>
        <w:tab/>
      </w:r>
      <w:r w:rsidR="00943373" w:rsidRPr="00943373">
        <w:rPr>
          <w:rFonts w:ascii="Arial" w:hAnsi="Arial"/>
          <w:sz w:val="22"/>
          <w:szCs w:val="22"/>
        </w:rPr>
        <w:t>On feature groups for URLLC UEs</w:t>
      </w:r>
    </w:p>
    <w:p w14:paraId="0FDBAE51" w14:textId="365AD843"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544DACEC" w14:textId="1AEF0009" w:rsidR="00A04DC4" w:rsidRDefault="00A04DC4" w:rsidP="00A04DC4">
      <w:pPr>
        <w:spacing w:after="0"/>
        <w:jc w:val="both"/>
        <w:rPr>
          <w:bCs/>
        </w:rPr>
      </w:pPr>
      <w:r>
        <w:rPr>
          <w:bCs/>
        </w:rPr>
        <w:t>One of the characteristics of NR is that it provides great flexibility</w:t>
      </w:r>
      <w:r w:rsidR="001D237F">
        <w:rPr>
          <w:bCs/>
        </w:rPr>
        <w:t xml:space="preserve"> to support different kinds of applications, including eMBB and URLLC. In this contribution we discuss how these features are captured in specifications and we propose directions to simplify the development of the ecosystem for applications dependent on URLLC functionality.</w:t>
      </w:r>
    </w:p>
    <w:p w14:paraId="716FF482" w14:textId="73BD239B" w:rsidR="005F4BCC" w:rsidRPr="00DA6590" w:rsidRDefault="005F4BCC" w:rsidP="005F4BCC">
      <w:pPr>
        <w:spacing w:after="0"/>
        <w:jc w:val="both"/>
        <w:rPr>
          <w:lang w:val="en-US" w:eastAsia="zh-CN"/>
        </w:rPr>
      </w:pPr>
    </w:p>
    <w:p w14:paraId="3A4FB463" w14:textId="45508E35" w:rsidR="00CB16FB" w:rsidRPr="00A04DC4" w:rsidRDefault="00A04DC4" w:rsidP="005F4BCC">
      <w:pPr>
        <w:pStyle w:val="Heading1"/>
        <w:rPr>
          <w:rFonts w:cs="Arial"/>
        </w:rPr>
      </w:pPr>
      <w:r w:rsidRPr="00A04DC4">
        <w:rPr>
          <w:rFonts w:cs="Arial"/>
        </w:rPr>
        <w:t>Discussion</w:t>
      </w:r>
    </w:p>
    <w:p w14:paraId="3C877416" w14:textId="1C99CF93" w:rsidR="00A04DC4" w:rsidRDefault="00A04DC4" w:rsidP="00A04DC4">
      <w:pPr>
        <w:spacing w:after="0"/>
        <w:jc w:val="both"/>
        <w:rPr>
          <w:bCs/>
        </w:rPr>
      </w:pPr>
      <w:r>
        <w:rPr>
          <w:bCs/>
        </w:rPr>
        <w:t xml:space="preserve">In Rel-15 several features have been introduced which are expected to cover different market needs. While many of those are relevant for most devices in general, there are feature which have been developed with the intention of addressing requirements for URLLC type of operation, e.g. industrial applications. In Rel-16 these features are further expanded, including those developed under Industrial IOT [1] and URLLC WIs [2]. </w:t>
      </w:r>
    </w:p>
    <w:p w14:paraId="5CC4BF2F" w14:textId="77777777" w:rsidR="00A04DC4" w:rsidRDefault="00A04DC4" w:rsidP="00A04DC4">
      <w:pPr>
        <w:spacing w:after="0"/>
        <w:jc w:val="both"/>
        <w:rPr>
          <w:bCs/>
        </w:rPr>
      </w:pPr>
    </w:p>
    <w:p w14:paraId="7405469C" w14:textId="7C64971E" w:rsidR="00BC172A" w:rsidRDefault="00A04DC4" w:rsidP="00A04DC4">
      <w:pPr>
        <w:spacing w:after="0"/>
        <w:jc w:val="both"/>
        <w:rPr>
          <w:bCs/>
        </w:rPr>
      </w:pPr>
      <w:r>
        <w:rPr>
          <w:bCs/>
        </w:rPr>
        <w:t>In fact, there are already 300+ Rel-15 features captured in TS3</w:t>
      </w:r>
      <w:r w:rsidR="00A55F0B">
        <w:rPr>
          <w:bCs/>
        </w:rPr>
        <w:t>8</w:t>
      </w:r>
      <w:r>
        <w:rPr>
          <w:bCs/>
        </w:rPr>
        <w:t xml:space="preserve">.306 [3], not including features that do not have associated capability, as discussed in [4]. In one hand this is a natural consequence of the fact that NR provides significant flexibility from its onset, but it is also due to the approach taken to define such features and capabilities, where </w:t>
      </w:r>
      <w:r w:rsidR="00BC172A">
        <w:rPr>
          <w:bCs/>
        </w:rPr>
        <w:t xml:space="preserve">most features capture only a fragment of the functionality it intends to support. For example, one would expect that a URLLC UE would support features such as </w:t>
      </w:r>
      <w:r w:rsidR="00BC172A" w:rsidRPr="00BC172A">
        <w:rPr>
          <w:bCs/>
          <w:i/>
          <w:iCs/>
        </w:rPr>
        <w:t>pdsch-ProcessingType2</w:t>
      </w:r>
      <w:r w:rsidR="00BC172A">
        <w:rPr>
          <w:bCs/>
        </w:rPr>
        <w:t xml:space="preserve"> and </w:t>
      </w:r>
      <w:r w:rsidR="00BC172A" w:rsidRPr="00BC172A">
        <w:rPr>
          <w:bCs/>
          <w:i/>
          <w:iCs/>
        </w:rPr>
        <w:t>pusch-ProcessingType</w:t>
      </w:r>
      <w:r w:rsidR="00BC172A">
        <w:rPr>
          <w:bCs/>
          <w:i/>
          <w:iCs/>
        </w:rPr>
        <w:t xml:space="preserve">2: </w:t>
      </w:r>
    </w:p>
    <w:p w14:paraId="11947A70" w14:textId="7FFA9549" w:rsidR="00BC172A" w:rsidRDefault="00BC172A" w:rsidP="00A04DC4">
      <w:pPr>
        <w:spacing w:after="0"/>
        <w:jc w:val="both"/>
        <w:rPr>
          <w:bCs/>
        </w:rPr>
      </w:pPr>
    </w:p>
    <w:tbl>
      <w:tblPr>
        <w:tblW w:w="946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67"/>
      </w:tblGrid>
      <w:tr w:rsidR="00BC172A" w:rsidRPr="00EC530E" w14:paraId="54741E15" w14:textId="77777777" w:rsidTr="00BC172A">
        <w:trPr>
          <w:cantSplit/>
          <w:trHeight w:val="197"/>
          <w:tblHeader/>
        </w:trPr>
        <w:tc>
          <w:tcPr>
            <w:tcW w:w="9467" w:type="dxa"/>
          </w:tcPr>
          <w:p w14:paraId="6DAB01E2" w14:textId="405F0E13" w:rsidR="00BC172A" w:rsidRPr="00BC172A" w:rsidRDefault="00BC172A" w:rsidP="00BC172A">
            <w:pPr>
              <w:pStyle w:val="TAL"/>
              <w:jc w:val="center"/>
              <w:rPr>
                <w:b/>
                <w:bCs/>
                <w:i/>
              </w:rPr>
            </w:pPr>
            <w:r w:rsidRPr="00BC172A">
              <w:rPr>
                <w:b/>
                <w:bCs/>
              </w:rPr>
              <w:lastRenderedPageBreak/>
              <w:t>Definitions for parameters</w:t>
            </w:r>
          </w:p>
        </w:tc>
      </w:tr>
      <w:tr w:rsidR="00BC172A" w:rsidRPr="00EC530E" w14:paraId="20EDD790" w14:textId="77777777" w:rsidTr="00BC172A">
        <w:trPr>
          <w:cantSplit/>
          <w:trHeight w:val="3463"/>
          <w:tblHeader/>
        </w:trPr>
        <w:tc>
          <w:tcPr>
            <w:tcW w:w="9467" w:type="dxa"/>
          </w:tcPr>
          <w:p w14:paraId="4AB57C6C" w14:textId="77777777" w:rsidR="00BC172A" w:rsidRPr="00EC530E" w:rsidRDefault="00BC172A" w:rsidP="00BC172A">
            <w:pPr>
              <w:pStyle w:val="TAL"/>
              <w:rPr>
                <w:b/>
                <w:i/>
              </w:rPr>
            </w:pPr>
            <w:r w:rsidRPr="00EC530E">
              <w:rPr>
                <w:b/>
                <w:i/>
              </w:rPr>
              <w:t>pdsch-ProcessingType2</w:t>
            </w:r>
          </w:p>
          <w:p w14:paraId="2F7319DF" w14:textId="77777777" w:rsidR="00BC172A" w:rsidRPr="00EC530E" w:rsidRDefault="00BC172A" w:rsidP="00BC172A">
            <w:pPr>
              <w:pStyle w:val="TAL"/>
            </w:pPr>
            <w:r w:rsidRPr="00EC530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DB4434B" w14:textId="77777777" w:rsidR="00BC172A" w:rsidRPr="00EC530E" w:rsidRDefault="00BC172A" w:rsidP="00BC172A">
            <w:pPr>
              <w:ind w:left="568" w:hanging="284"/>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fallback</w:t>
            </w:r>
            <w:r w:rsidRPr="00EC530E">
              <w:rPr>
                <w:rFonts w:ascii="Arial" w:hAnsi="Arial" w:cs="Arial"/>
                <w:sz w:val="18"/>
                <w:szCs w:val="18"/>
              </w:rPr>
              <w:t xml:space="preserve"> indicates whether the UE supports PDSCH processing capability 2 when the number of configured carriers is larger than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a reported value of </w:t>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If </w:t>
            </w:r>
            <w:r w:rsidRPr="00EC530E">
              <w:rPr>
                <w:rFonts w:ascii="Arial" w:hAnsi="Arial" w:cs="Arial"/>
                <w:i/>
                <w:iCs/>
                <w:sz w:val="18"/>
                <w:szCs w:val="18"/>
              </w:rPr>
              <w:t>fallback</w:t>
            </w:r>
            <w:r w:rsidRPr="00EC530E">
              <w:rPr>
                <w:rFonts w:ascii="Arial" w:hAnsi="Arial" w:cs="Arial"/>
                <w:sz w:val="18"/>
                <w:szCs w:val="18"/>
              </w:rPr>
              <w:t xml:space="preserve"> = '</w:t>
            </w:r>
            <w:proofErr w:type="spellStart"/>
            <w:r w:rsidRPr="00EC530E">
              <w:rPr>
                <w:rFonts w:ascii="Arial" w:hAnsi="Arial" w:cs="Arial"/>
                <w:sz w:val="18"/>
                <w:szCs w:val="18"/>
              </w:rPr>
              <w:t>sc</w:t>
            </w:r>
            <w:proofErr w:type="spellEnd"/>
            <w:r w:rsidRPr="00EC530E">
              <w:rPr>
                <w:rFonts w:ascii="Arial" w:hAnsi="Arial" w:cs="Arial"/>
                <w:sz w:val="18"/>
                <w:szCs w:val="18"/>
              </w:rPr>
              <w:t xml:space="preserve">', UE supports capability 2 processing time on lowest cell index among the configured carriers in the band where the value is reported, if </w:t>
            </w:r>
            <w:r w:rsidRPr="00EC530E">
              <w:rPr>
                <w:rFonts w:ascii="Arial" w:hAnsi="Arial" w:cs="Arial"/>
                <w:i/>
                <w:iCs/>
                <w:sz w:val="18"/>
                <w:szCs w:val="18"/>
              </w:rPr>
              <w:t>fallback</w:t>
            </w:r>
            <w:r w:rsidRPr="00EC530E">
              <w:rPr>
                <w:rFonts w:ascii="Arial" w:hAnsi="Arial" w:cs="Arial"/>
                <w:sz w:val="18"/>
                <w:szCs w:val="18"/>
              </w:rPr>
              <w:t xml:space="preserve"> = 'cap1-only', UE supports only capability 1, in the band where the value is reported;</w:t>
            </w:r>
          </w:p>
          <w:p w14:paraId="378698CC" w14:textId="77777777" w:rsidR="00BC172A" w:rsidRPr="00EC530E" w:rsidRDefault="00BC172A" w:rsidP="00BC172A">
            <w:pPr>
              <w:pStyle w:val="B1"/>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indicates whether the UE supports processing type 2 for 1, 2, 4 and/or 7 unicast PDSCHs for different transport blocks per slot</w:t>
            </w:r>
            <w:r w:rsidRPr="00EC530E">
              <w:t xml:space="preserve"> per CC</w:t>
            </w:r>
            <w:r w:rsidRPr="00EC530E">
              <w:rPr>
                <w:rFonts w:ascii="Arial" w:hAnsi="Arial" w:cs="Arial"/>
                <w:sz w:val="18"/>
                <w:szCs w:val="18"/>
              </w:rPr>
              <w:t xml:space="preserve">; and if so, it indicates up to which number of CA serving cells the UE supports that number of unicast PDSCHs for different </w:t>
            </w:r>
            <w:proofErr w:type="spellStart"/>
            <w:r w:rsidRPr="00EC530E">
              <w:rPr>
                <w:rFonts w:ascii="Arial" w:hAnsi="Arial" w:cs="Arial"/>
                <w:sz w:val="18"/>
                <w:szCs w:val="18"/>
              </w:rPr>
              <w:t>TBs.</w:t>
            </w:r>
            <w:proofErr w:type="spellEnd"/>
            <w:r w:rsidRPr="00EC530E">
              <w:rPr>
                <w:rFonts w:ascii="Arial" w:hAnsi="Arial" w:cs="Arial"/>
                <w:sz w:val="18"/>
                <w:szCs w:val="18"/>
              </w:rPr>
              <w:t xml:space="preserve"> The UE shall include at least one of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1, 2, 4 or 7 transport blocks per slot in this field if </w:t>
            </w:r>
            <w:r w:rsidRPr="00EC530E">
              <w:rPr>
                <w:rFonts w:ascii="Arial" w:hAnsi="Arial" w:cs="Arial"/>
                <w:i/>
                <w:sz w:val="18"/>
                <w:szCs w:val="18"/>
              </w:rPr>
              <w:t>pdsch-ProcessingType2</w:t>
            </w:r>
            <w:r w:rsidRPr="00EC530E">
              <w:rPr>
                <w:rFonts w:ascii="Arial" w:hAnsi="Arial" w:cs="Arial"/>
                <w:sz w:val="18"/>
                <w:szCs w:val="18"/>
              </w:rPr>
              <w:t xml:space="preserve"> is indicated.</w:t>
            </w:r>
          </w:p>
        </w:tc>
      </w:tr>
      <w:tr w:rsidR="00BC172A" w:rsidRPr="00EC530E" w14:paraId="014149FF" w14:textId="77777777" w:rsidTr="00BC172A">
        <w:trPr>
          <w:cantSplit/>
          <w:trHeight w:val="3356"/>
          <w:tblHeader/>
        </w:trPr>
        <w:tc>
          <w:tcPr>
            <w:tcW w:w="9467" w:type="dxa"/>
          </w:tcPr>
          <w:p w14:paraId="40C062C0" w14:textId="77777777" w:rsidR="00BC172A" w:rsidRPr="00EC530E" w:rsidRDefault="00BC172A" w:rsidP="00BC172A">
            <w:pPr>
              <w:pStyle w:val="TAL"/>
              <w:rPr>
                <w:rFonts w:cs="Arial"/>
                <w:b/>
                <w:i/>
                <w:szCs w:val="18"/>
              </w:rPr>
            </w:pPr>
            <w:r w:rsidRPr="00EC530E">
              <w:rPr>
                <w:rFonts w:cs="Arial"/>
                <w:b/>
                <w:i/>
                <w:szCs w:val="18"/>
              </w:rPr>
              <w:t>pusch-ProcessingType2</w:t>
            </w:r>
          </w:p>
          <w:p w14:paraId="2F99328C" w14:textId="77777777" w:rsidR="00BC172A" w:rsidRPr="00EC530E" w:rsidRDefault="00BC172A" w:rsidP="00BC172A">
            <w:pPr>
              <w:pStyle w:val="TAL"/>
              <w:rPr>
                <w:rFonts w:cs="Arial"/>
                <w:szCs w:val="18"/>
              </w:rPr>
            </w:pPr>
            <w:r w:rsidRPr="00EC530E">
              <w:rPr>
                <w:rFonts w:cs="Arial"/>
                <w:szCs w:val="18"/>
              </w:rPr>
              <w:t xml:space="preserve">Indicates whether the UE supports PUSCH processing capability 2. </w:t>
            </w:r>
            <w:r w:rsidRPr="00EC530E">
              <w:t xml:space="preserve">The UE supports it only if all serving cells are self-scheduled and if all serving cells in one band on which the network configured processingType2 use the same subcarrier spacing. </w:t>
            </w:r>
            <w:r w:rsidRPr="00EC530E">
              <w:rPr>
                <w:rFonts w:cs="Arial"/>
                <w:szCs w:val="18"/>
              </w:rPr>
              <w:t>This capability signalling comprises the following parameters for each sub-carrier spacing supported by the UE.</w:t>
            </w:r>
          </w:p>
          <w:p w14:paraId="2334FF26" w14:textId="77777777" w:rsidR="00BC172A" w:rsidRPr="00EC530E" w:rsidRDefault="00BC172A" w:rsidP="00BC172A">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fallback</w:t>
            </w:r>
            <w:r w:rsidRPr="00EC530E">
              <w:rPr>
                <w:rFonts w:ascii="Arial" w:hAnsi="Arial" w:cs="Arial"/>
                <w:sz w:val="18"/>
                <w:szCs w:val="18"/>
              </w:rPr>
              <w:t xml:space="preserve"> indicates whether the UE supports PUSCH processing capability 2 when the number of configured carriers is larger than </w:t>
            </w:r>
            <w:proofErr w:type="spellStart"/>
            <w:r w:rsidRPr="00EC530E">
              <w:rPr>
                <w:rFonts w:ascii="Arial" w:hAnsi="Arial" w:cs="Arial"/>
                <w:i/>
                <w:sz w:val="18"/>
                <w:szCs w:val="18"/>
              </w:rPr>
              <w:t>numberOfCarriers</w:t>
            </w:r>
            <w:proofErr w:type="spellEnd"/>
            <w:r w:rsidRPr="00EC530E">
              <w:rPr>
                <w:rFonts w:ascii="Arial" w:hAnsi="Arial" w:cs="Arial"/>
                <w:sz w:val="18"/>
                <w:szCs w:val="18"/>
              </w:rPr>
              <w:t xml:space="preserve"> for a reported value of </w:t>
            </w:r>
            <w:proofErr w:type="spellStart"/>
            <w:r w:rsidRPr="00EC530E">
              <w:rPr>
                <w:rFonts w:ascii="Arial" w:hAnsi="Arial" w:cs="Arial"/>
                <w:i/>
                <w:sz w:val="18"/>
                <w:szCs w:val="18"/>
              </w:rPr>
              <w:t>differentTB-PerSlot</w:t>
            </w:r>
            <w:proofErr w:type="spellEnd"/>
            <w:r w:rsidRPr="00EC530E">
              <w:rPr>
                <w:rFonts w:ascii="Arial" w:hAnsi="Arial" w:cs="Arial"/>
                <w:sz w:val="18"/>
                <w:szCs w:val="18"/>
              </w:rPr>
              <w:t xml:space="preserve">. If </w:t>
            </w:r>
            <w:r w:rsidRPr="00EC530E">
              <w:rPr>
                <w:rFonts w:ascii="Arial" w:hAnsi="Arial" w:cs="Arial"/>
                <w:i/>
                <w:iCs/>
                <w:sz w:val="18"/>
                <w:szCs w:val="18"/>
              </w:rPr>
              <w:t>fallback</w:t>
            </w:r>
            <w:r w:rsidRPr="00EC530E">
              <w:rPr>
                <w:rFonts w:ascii="Arial" w:hAnsi="Arial" w:cs="Arial"/>
                <w:sz w:val="18"/>
                <w:szCs w:val="18"/>
              </w:rPr>
              <w:t xml:space="preserve"> = '</w:t>
            </w:r>
            <w:proofErr w:type="spellStart"/>
            <w:r w:rsidRPr="00EC530E">
              <w:rPr>
                <w:rFonts w:ascii="Arial" w:hAnsi="Arial" w:cs="Arial"/>
                <w:sz w:val="18"/>
                <w:szCs w:val="18"/>
              </w:rPr>
              <w:t>sc</w:t>
            </w:r>
            <w:proofErr w:type="spellEnd"/>
            <w:r w:rsidRPr="00EC530E">
              <w:rPr>
                <w:rFonts w:ascii="Arial" w:hAnsi="Arial" w:cs="Arial"/>
                <w:sz w:val="18"/>
                <w:szCs w:val="18"/>
              </w:rPr>
              <w:t xml:space="preserve">', UE supports capability 2 processing time on lowest cell index among the configured carriers in the band where the value is reported, if </w:t>
            </w:r>
            <w:r w:rsidRPr="00EC530E">
              <w:rPr>
                <w:rFonts w:ascii="Arial" w:hAnsi="Arial" w:cs="Arial"/>
                <w:i/>
                <w:iCs/>
                <w:sz w:val="18"/>
                <w:szCs w:val="18"/>
              </w:rPr>
              <w:t>fallback</w:t>
            </w:r>
            <w:r w:rsidRPr="00EC530E">
              <w:rPr>
                <w:rFonts w:ascii="Arial" w:hAnsi="Arial" w:cs="Arial"/>
                <w:sz w:val="18"/>
                <w:szCs w:val="18"/>
              </w:rPr>
              <w:t xml:space="preserve"> = 'cap1-only', UE supports only capability 1, in the band where the value is reported;</w:t>
            </w:r>
          </w:p>
          <w:p w14:paraId="1B1B4C0D" w14:textId="432D29EC" w:rsidR="00BC172A" w:rsidRPr="00EC530E" w:rsidRDefault="00BC172A" w:rsidP="00BC172A">
            <w:pPr>
              <w:pStyle w:val="TAL"/>
              <w:rPr>
                <w:b/>
                <w:i/>
              </w:rPr>
            </w:pPr>
            <w:r w:rsidRPr="00EC530E" w:rsidDel="002B4052">
              <w:rPr>
                <w:rFonts w:cs="Arial"/>
                <w:szCs w:val="18"/>
              </w:rPr>
              <w:t>-</w:t>
            </w:r>
            <w:r w:rsidRPr="00EC530E" w:rsidDel="002B4052">
              <w:rPr>
                <w:rFonts w:cs="Arial"/>
                <w:szCs w:val="18"/>
              </w:rPr>
              <w:tab/>
            </w:r>
            <w:proofErr w:type="spellStart"/>
            <w:r w:rsidRPr="00EC530E">
              <w:rPr>
                <w:rFonts w:cs="Arial"/>
                <w:i/>
                <w:szCs w:val="18"/>
              </w:rPr>
              <w:t>differentTB-PerSlot</w:t>
            </w:r>
            <w:proofErr w:type="spellEnd"/>
            <w:r w:rsidRPr="00EC530E">
              <w:rPr>
                <w:rFonts w:cs="Arial"/>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EC530E">
              <w:rPr>
                <w:rFonts w:cs="Arial"/>
                <w:szCs w:val="18"/>
              </w:rPr>
              <w:t>TBs.</w:t>
            </w:r>
            <w:proofErr w:type="spellEnd"/>
            <w:r w:rsidRPr="00EC530E">
              <w:rPr>
                <w:rFonts w:cs="Arial"/>
                <w:szCs w:val="18"/>
              </w:rPr>
              <w:t xml:space="preserve"> The UE shall include at least one of </w:t>
            </w:r>
            <w:proofErr w:type="spellStart"/>
            <w:r w:rsidRPr="00EC530E">
              <w:rPr>
                <w:rFonts w:cs="Arial"/>
                <w:i/>
                <w:szCs w:val="18"/>
              </w:rPr>
              <w:t>numberOfCarriers</w:t>
            </w:r>
            <w:proofErr w:type="spellEnd"/>
            <w:r w:rsidRPr="00EC530E">
              <w:rPr>
                <w:rFonts w:cs="Arial"/>
                <w:szCs w:val="18"/>
              </w:rPr>
              <w:t xml:space="preserve"> for 1, 2, 4 or 7 transport blocks per slot in this field if </w:t>
            </w:r>
            <w:r w:rsidRPr="00EC530E">
              <w:rPr>
                <w:rFonts w:cs="Arial"/>
                <w:i/>
                <w:szCs w:val="18"/>
              </w:rPr>
              <w:t>pusch-ProcessingType2</w:t>
            </w:r>
            <w:r w:rsidRPr="00EC530E">
              <w:rPr>
                <w:rFonts w:cs="Arial"/>
                <w:szCs w:val="18"/>
              </w:rPr>
              <w:t xml:space="preserve"> is indicated.</w:t>
            </w:r>
          </w:p>
        </w:tc>
      </w:tr>
    </w:tbl>
    <w:p w14:paraId="4B3E0FD9" w14:textId="77777777" w:rsidR="00BC172A" w:rsidRDefault="00BC172A" w:rsidP="00A04DC4">
      <w:pPr>
        <w:spacing w:after="0"/>
        <w:jc w:val="both"/>
        <w:rPr>
          <w:bCs/>
        </w:rPr>
      </w:pPr>
    </w:p>
    <w:p w14:paraId="469A95A5" w14:textId="35A6DD00" w:rsidR="00BC172A" w:rsidRDefault="00BC172A" w:rsidP="00A04DC4">
      <w:pPr>
        <w:spacing w:after="0"/>
        <w:jc w:val="both"/>
        <w:rPr>
          <w:bCs/>
        </w:rPr>
      </w:pPr>
    </w:p>
    <w:p w14:paraId="086044A1" w14:textId="378AC429" w:rsidR="00BC172A" w:rsidRDefault="00B54B33" w:rsidP="00BC172A">
      <w:pPr>
        <w:spacing w:after="0"/>
        <w:jc w:val="both"/>
        <w:rPr>
          <w:bCs/>
        </w:rPr>
      </w:pPr>
      <w:r>
        <w:rPr>
          <w:bCs/>
        </w:rPr>
        <w:t>However,</w:t>
      </w:r>
      <w:r w:rsidR="00BC172A">
        <w:rPr>
          <w:bCs/>
        </w:rPr>
        <w:t xml:space="preserve"> those are not enough to provide the expected functionality for devices in an industrial environment or any other environment requiring URLLC type of performance. Any meaningful URLLC UE will need to implement other features in addition, for example: </w:t>
      </w:r>
    </w:p>
    <w:p w14:paraId="27230BB3" w14:textId="77777777" w:rsidR="00BC172A" w:rsidRDefault="00BC172A" w:rsidP="00BC172A">
      <w:pPr>
        <w:spacing w:after="0"/>
        <w:jc w:val="both"/>
        <w:rPr>
          <w:bCs/>
        </w:rPr>
      </w:pPr>
    </w:p>
    <w:tbl>
      <w:tblPr>
        <w:tblW w:w="946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67"/>
      </w:tblGrid>
      <w:tr w:rsidR="00BC172A" w:rsidRPr="00EC530E" w14:paraId="2DF24CFC" w14:textId="77777777" w:rsidTr="006E3029">
        <w:trPr>
          <w:cantSplit/>
          <w:trHeight w:val="197"/>
          <w:tblHeader/>
        </w:trPr>
        <w:tc>
          <w:tcPr>
            <w:tcW w:w="9467" w:type="dxa"/>
          </w:tcPr>
          <w:p w14:paraId="7A29BADB" w14:textId="77777777" w:rsidR="00BC172A" w:rsidRPr="00BC172A" w:rsidRDefault="00BC172A" w:rsidP="006E3029">
            <w:pPr>
              <w:pStyle w:val="TAL"/>
              <w:jc w:val="center"/>
              <w:rPr>
                <w:b/>
                <w:bCs/>
                <w:i/>
              </w:rPr>
            </w:pPr>
            <w:r w:rsidRPr="00BC172A">
              <w:rPr>
                <w:b/>
                <w:bCs/>
              </w:rPr>
              <w:t>Definitions for parameters</w:t>
            </w:r>
          </w:p>
        </w:tc>
      </w:tr>
      <w:tr w:rsidR="00BC172A" w:rsidRPr="00EC530E" w14:paraId="46C0E858" w14:textId="77777777" w:rsidTr="00BC172A">
        <w:trPr>
          <w:cantSplit/>
          <w:trHeight w:val="521"/>
          <w:tblHeader/>
        </w:trPr>
        <w:tc>
          <w:tcPr>
            <w:tcW w:w="9467" w:type="dxa"/>
          </w:tcPr>
          <w:p w14:paraId="6057AA8D" w14:textId="77777777" w:rsidR="00BC172A" w:rsidRPr="00EC530E" w:rsidRDefault="00BC172A" w:rsidP="00BC172A">
            <w:pPr>
              <w:pStyle w:val="TAL"/>
              <w:rPr>
                <w:b/>
                <w:i/>
              </w:rPr>
            </w:pPr>
            <w:proofErr w:type="spellStart"/>
            <w:r w:rsidRPr="00EC530E">
              <w:rPr>
                <w:b/>
                <w:i/>
              </w:rPr>
              <w:t>pdsch-MappingTypeB</w:t>
            </w:r>
            <w:proofErr w:type="spellEnd"/>
          </w:p>
          <w:p w14:paraId="6F87C5EC" w14:textId="1E36C9E0" w:rsidR="00BC172A" w:rsidRPr="00EC530E" w:rsidRDefault="00BC172A" w:rsidP="00BC172A">
            <w:pPr>
              <w:pStyle w:val="B1"/>
            </w:pPr>
            <w:r w:rsidRPr="00EC530E">
              <w:t>Indicates whether the UE supports receiving PDSCH using PDSCH mapping type B.</w:t>
            </w:r>
          </w:p>
        </w:tc>
      </w:tr>
      <w:tr w:rsidR="00BC172A" w:rsidRPr="00EC530E" w14:paraId="649814B9" w14:textId="77777777" w:rsidTr="00BC172A">
        <w:trPr>
          <w:cantSplit/>
          <w:trHeight w:val="1310"/>
          <w:tblHeader/>
        </w:trPr>
        <w:tc>
          <w:tcPr>
            <w:tcW w:w="9467" w:type="dxa"/>
          </w:tcPr>
          <w:p w14:paraId="76208EAC" w14:textId="77777777" w:rsidR="00BC172A" w:rsidRPr="00EC530E" w:rsidRDefault="00BC172A" w:rsidP="00BC172A">
            <w:pPr>
              <w:pStyle w:val="TAL"/>
              <w:rPr>
                <w:b/>
                <w:i/>
              </w:rPr>
            </w:pPr>
            <w:proofErr w:type="spellStart"/>
            <w:r w:rsidRPr="00EC530E">
              <w:rPr>
                <w:b/>
                <w:i/>
              </w:rPr>
              <w:t>pdcch-MonitoringAnyOccasionsWithSpanGap</w:t>
            </w:r>
            <w:proofErr w:type="spellEnd"/>
          </w:p>
          <w:p w14:paraId="1601F81C" w14:textId="5A0E4DC6" w:rsidR="00BC172A" w:rsidRPr="00EC530E" w:rsidRDefault="00BC172A" w:rsidP="00BC172A">
            <w:pPr>
              <w:pStyle w:val="TAL"/>
              <w:rPr>
                <w:b/>
                <w:i/>
              </w:rPr>
            </w:pPr>
            <w:r w:rsidRPr="00EC530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r>
      <w:tr w:rsidR="00BC172A" w:rsidRPr="00EC530E" w14:paraId="12A75C07" w14:textId="77777777" w:rsidTr="00244068">
        <w:trPr>
          <w:cantSplit/>
          <w:trHeight w:val="690"/>
          <w:tblHeader/>
        </w:trPr>
        <w:tc>
          <w:tcPr>
            <w:tcW w:w="9467" w:type="dxa"/>
          </w:tcPr>
          <w:p w14:paraId="41093CB0" w14:textId="77777777" w:rsidR="00244068" w:rsidRPr="00EC530E" w:rsidRDefault="00244068" w:rsidP="00244068">
            <w:pPr>
              <w:pStyle w:val="TAL"/>
              <w:rPr>
                <w:b/>
                <w:i/>
              </w:rPr>
            </w:pPr>
            <w:proofErr w:type="spellStart"/>
            <w:r w:rsidRPr="00EC530E">
              <w:rPr>
                <w:b/>
                <w:i/>
              </w:rPr>
              <w:t>pdsch-RepetitionMultiSlots</w:t>
            </w:r>
            <w:proofErr w:type="spellEnd"/>
          </w:p>
          <w:p w14:paraId="1F080B54" w14:textId="1A69F897" w:rsidR="00BC172A" w:rsidRPr="00BC172A" w:rsidRDefault="00244068" w:rsidP="00244068">
            <w:pPr>
              <w:pStyle w:val="TAL"/>
              <w:rPr>
                <w:b/>
                <w:iCs/>
              </w:rPr>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r>
      <w:tr w:rsidR="00244068" w:rsidRPr="00EC530E" w14:paraId="1453E537" w14:textId="77777777" w:rsidTr="00244068">
        <w:trPr>
          <w:cantSplit/>
          <w:trHeight w:val="843"/>
          <w:tblHeader/>
        </w:trPr>
        <w:tc>
          <w:tcPr>
            <w:tcW w:w="9467" w:type="dxa"/>
          </w:tcPr>
          <w:p w14:paraId="2659C7EC" w14:textId="77777777" w:rsidR="00244068" w:rsidRPr="00EC530E" w:rsidRDefault="00244068" w:rsidP="00244068">
            <w:pPr>
              <w:pStyle w:val="TAL"/>
              <w:rPr>
                <w:b/>
                <w:i/>
              </w:rPr>
            </w:pPr>
            <w:proofErr w:type="spellStart"/>
            <w:r w:rsidRPr="00EC530E">
              <w:rPr>
                <w:b/>
                <w:i/>
              </w:rPr>
              <w:t>pusch-RepetitionMultiSlots</w:t>
            </w:r>
            <w:proofErr w:type="spellEnd"/>
          </w:p>
          <w:p w14:paraId="42355D95" w14:textId="5D5781AC" w:rsidR="00244068" w:rsidRPr="00EC530E" w:rsidRDefault="00244068" w:rsidP="00244068">
            <w:pPr>
              <w:pStyle w:val="TAL"/>
              <w:rPr>
                <w:b/>
                <w:i/>
              </w:rPr>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r>
    </w:tbl>
    <w:p w14:paraId="5D790FCE" w14:textId="77777777" w:rsidR="00BC172A" w:rsidRDefault="00BC172A" w:rsidP="00A04DC4">
      <w:pPr>
        <w:spacing w:after="0"/>
        <w:jc w:val="both"/>
        <w:rPr>
          <w:bCs/>
        </w:rPr>
      </w:pPr>
    </w:p>
    <w:p w14:paraId="65D18137" w14:textId="08E426C1" w:rsidR="00A04DC4" w:rsidRDefault="00A04DC4" w:rsidP="00A04DC4">
      <w:pPr>
        <w:spacing w:after="0"/>
        <w:jc w:val="both"/>
        <w:rPr>
          <w:bCs/>
        </w:rPr>
      </w:pPr>
    </w:p>
    <w:p w14:paraId="104DF705" w14:textId="34AEC834" w:rsidR="00244068" w:rsidRDefault="00244068" w:rsidP="00A04DC4">
      <w:pPr>
        <w:spacing w:after="0"/>
        <w:jc w:val="both"/>
        <w:rPr>
          <w:bCs/>
        </w:rPr>
      </w:pPr>
      <w:r>
        <w:rPr>
          <w:bCs/>
        </w:rPr>
        <w:t xml:space="preserve">It might be difficult to identify a unique set of parameters that will be enough to characterize all possible URLLC type of applications, as some might prioritize latency performance over reliability and vice-versa. In any case, the development of corresponding devices and networks can be significantly simplified if there are agreed sets of features which are expected to be considered together to deliver the expected functionality. Given that defining such sets of features require deep knowledge of 3GPP specifications, it is our understanding that </w:t>
      </w:r>
      <w:r w:rsidR="0025084C">
        <w:rPr>
          <w:bCs/>
        </w:rPr>
        <w:t>such definition</w:t>
      </w:r>
      <w:r>
        <w:rPr>
          <w:bCs/>
        </w:rPr>
        <w:t xml:space="preserve"> is in </w:t>
      </w:r>
      <w:r w:rsidR="0025084C">
        <w:rPr>
          <w:bCs/>
        </w:rPr>
        <w:t xml:space="preserve">the </w:t>
      </w:r>
      <w:r>
        <w:rPr>
          <w:bCs/>
        </w:rPr>
        <w:t>scope of 3GPP</w:t>
      </w:r>
      <w:r w:rsidR="0025084C">
        <w:rPr>
          <w:bCs/>
        </w:rPr>
        <w:t xml:space="preserve"> work</w:t>
      </w:r>
      <w:r w:rsidR="007E7F8D">
        <w:rPr>
          <w:bCs/>
        </w:rPr>
        <w:t>.</w:t>
      </w:r>
    </w:p>
    <w:p w14:paraId="11D2D99D" w14:textId="77777777" w:rsidR="00244068" w:rsidRDefault="00244068" w:rsidP="00A04DC4">
      <w:pPr>
        <w:spacing w:after="0"/>
        <w:jc w:val="both"/>
        <w:rPr>
          <w:bCs/>
        </w:rPr>
      </w:pPr>
    </w:p>
    <w:p w14:paraId="33AF7AB4" w14:textId="617B5DD2" w:rsidR="00244068" w:rsidRPr="007E7F8D" w:rsidRDefault="007E7F8D" w:rsidP="00A04DC4">
      <w:pPr>
        <w:spacing w:after="0"/>
        <w:jc w:val="both"/>
        <w:rPr>
          <w:b/>
        </w:rPr>
      </w:pPr>
      <w:r w:rsidRPr="007E7F8D">
        <w:rPr>
          <w:b/>
        </w:rPr>
        <w:lastRenderedPageBreak/>
        <w:t xml:space="preserve">Proposal: 3GPP to consider defining set(s) of features </w:t>
      </w:r>
      <w:r w:rsidR="0025084C">
        <w:rPr>
          <w:b/>
        </w:rPr>
        <w:t xml:space="preserve">in TS38.306 </w:t>
      </w:r>
      <w:r w:rsidRPr="007E7F8D">
        <w:rPr>
          <w:b/>
        </w:rPr>
        <w:t>that are expected to be implemented together by devices supporting URLLC-type of functionality.</w:t>
      </w:r>
    </w:p>
    <w:p w14:paraId="79BEB7F3" w14:textId="77777777" w:rsidR="00244068" w:rsidRDefault="00244068" w:rsidP="00A04DC4">
      <w:pPr>
        <w:spacing w:after="0"/>
        <w:jc w:val="both"/>
        <w:rPr>
          <w:bCs/>
        </w:rPr>
      </w:pPr>
    </w:p>
    <w:p w14:paraId="623ACDEC" w14:textId="77777777" w:rsidR="00272A80" w:rsidRPr="00DA6590" w:rsidRDefault="00272A80" w:rsidP="00272A80">
      <w:pPr>
        <w:spacing w:after="0"/>
        <w:jc w:val="both"/>
        <w:rPr>
          <w:lang w:val="en-US" w:eastAsia="zh-CN"/>
        </w:rPr>
      </w:pPr>
    </w:p>
    <w:p w14:paraId="3D2F9380" w14:textId="23FB3224" w:rsidR="00460259" w:rsidRDefault="00460259" w:rsidP="00460259">
      <w:pPr>
        <w:pStyle w:val="Heading1"/>
      </w:pPr>
      <w:r>
        <w:t>Summary</w:t>
      </w:r>
    </w:p>
    <w:p w14:paraId="473CF233" w14:textId="63D8352D" w:rsidR="00460259" w:rsidRPr="00AF67E1" w:rsidRDefault="0038665A" w:rsidP="00460259">
      <w:pPr>
        <w:rPr>
          <w:bCs/>
        </w:rPr>
      </w:pPr>
      <w:r w:rsidRPr="005C11C8">
        <w:rPr>
          <w:bCs/>
        </w:rPr>
        <w:t>In this contributio</w:t>
      </w:r>
      <w:r w:rsidR="00FD4AE8" w:rsidRPr="005C11C8">
        <w:rPr>
          <w:bCs/>
        </w:rPr>
        <w:t xml:space="preserve">n we have </w:t>
      </w:r>
      <w:r w:rsidR="007E7F8D">
        <w:rPr>
          <w:bCs/>
        </w:rPr>
        <w:t>discussed the definition of features supporting URLLC functionality in NR and we make the following proposal:</w:t>
      </w:r>
    </w:p>
    <w:p w14:paraId="6D7600A0" w14:textId="69758416" w:rsidR="007E7F8D" w:rsidRPr="007E7F8D" w:rsidRDefault="007E7F8D" w:rsidP="007E7F8D">
      <w:pPr>
        <w:spacing w:after="0"/>
        <w:jc w:val="both"/>
        <w:rPr>
          <w:b/>
        </w:rPr>
      </w:pPr>
      <w:r w:rsidRPr="007E7F8D">
        <w:rPr>
          <w:b/>
        </w:rPr>
        <w:t xml:space="preserve">Proposal: 3GPP to consider defining set(s) of features </w:t>
      </w:r>
      <w:r w:rsidR="0025084C">
        <w:rPr>
          <w:b/>
        </w:rPr>
        <w:t xml:space="preserve">in TS38.306 </w:t>
      </w:r>
      <w:bookmarkStart w:id="2" w:name="_GoBack"/>
      <w:bookmarkEnd w:id="2"/>
      <w:r w:rsidRPr="007E7F8D">
        <w:rPr>
          <w:b/>
        </w:rPr>
        <w:t>that are expected to be implemented together by devices supporting URLLC-type of functionality.</w:t>
      </w:r>
    </w:p>
    <w:p w14:paraId="5F854CC7" w14:textId="09247F2F" w:rsidR="00FD4AE8" w:rsidRDefault="00FD4AE8" w:rsidP="00FD4AE8">
      <w:pPr>
        <w:pStyle w:val="paragraph"/>
        <w:spacing w:before="0" w:beforeAutospacing="0" w:after="0" w:afterAutospacing="0"/>
        <w:textAlignment w:val="baseline"/>
        <w:rPr>
          <w:rFonts w:eastAsia="SimSun"/>
          <w:b/>
          <w:bCs/>
          <w:color w:val="000000"/>
          <w:sz w:val="20"/>
          <w:szCs w:val="20"/>
          <w:lang w:eastAsia="ja-JP"/>
        </w:rPr>
      </w:pPr>
    </w:p>
    <w:p w14:paraId="1C92C7E6" w14:textId="77777777" w:rsidR="00FD4AE8" w:rsidRPr="0038665A" w:rsidRDefault="00FD4AE8" w:rsidP="00460259">
      <w:pPr>
        <w:rPr>
          <w:bCs/>
        </w:rPr>
      </w:pPr>
    </w:p>
    <w:p w14:paraId="10D17788" w14:textId="0C3E0DDA" w:rsidR="00CB16FB" w:rsidRDefault="00CB16FB" w:rsidP="006855E8">
      <w:pPr>
        <w:pStyle w:val="Heading1"/>
        <w:numPr>
          <w:ilvl w:val="0"/>
          <w:numId w:val="0"/>
        </w:numPr>
        <w:ind w:left="432" w:hanging="432"/>
      </w:pPr>
      <w:r>
        <w:t>References</w:t>
      </w:r>
    </w:p>
    <w:p w14:paraId="4C0DAFEA" w14:textId="44F34A9A" w:rsidR="003D0048" w:rsidRDefault="003D0048" w:rsidP="003D0048">
      <w:pPr>
        <w:ind w:left="432" w:hanging="432"/>
        <w:textAlignment w:val="auto"/>
      </w:pPr>
      <w:r w:rsidRPr="00375B9D">
        <w:t>[1]</w:t>
      </w:r>
      <w:r w:rsidRPr="00375B9D">
        <w:tab/>
      </w:r>
      <w:r w:rsidR="001068C5" w:rsidRPr="00375B9D">
        <w:t>R</w:t>
      </w:r>
      <w:r w:rsidR="001D237F">
        <w:t>P</w:t>
      </w:r>
      <w:r w:rsidR="001068C5" w:rsidRPr="00375B9D">
        <w:t>-</w:t>
      </w:r>
      <w:r w:rsidR="001D237F">
        <w:t xml:space="preserve">192590, </w:t>
      </w:r>
      <w:r w:rsidR="005C6E49">
        <w:t>“</w:t>
      </w:r>
      <w:r w:rsidR="005C6E49" w:rsidRPr="005C6E49">
        <w:rPr>
          <w:i/>
          <w:iCs/>
        </w:rPr>
        <w:t>Revised WID: Support of NR Industrial Internet of Things (IoT),</w:t>
      </w:r>
      <w:r w:rsidR="005C6E49">
        <w:t>” Nokia, Nokia Shanghai Bell, Sep. 2019</w:t>
      </w:r>
    </w:p>
    <w:p w14:paraId="67B15695" w14:textId="3B0D2331" w:rsidR="001D237F" w:rsidRDefault="001D237F" w:rsidP="003D0048">
      <w:pPr>
        <w:ind w:left="432" w:hanging="432"/>
        <w:textAlignment w:val="auto"/>
      </w:pPr>
      <w:r>
        <w:t>[2]</w:t>
      </w:r>
      <w:r>
        <w:tab/>
        <w:t xml:space="preserve">RP-191584, </w:t>
      </w:r>
      <w:r w:rsidR="005C6E49">
        <w:t>“</w:t>
      </w:r>
      <w:bookmarkStart w:id="3" w:name="OLE_LINK3"/>
      <w:r w:rsidR="005C6E49" w:rsidRPr="005C6E49">
        <w:rPr>
          <w:i/>
          <w:iCs/>
        </w:rPr>
        <w:t>Revised WID: Physical Layer Enhancements for NR</w:t>
      </w:r>
      <w:r w:rsidR="005C6E49" w:rsidRPr="005C6E49">
        <w:rPr>
          <w:rFonts w:hint="eastAsia"/>
          <w:i/>
          <w:iCs/>
        </w:rPr>
        <w:t xml:space="preserve"> Ultra-Reliable and Low Latency Communication</w:t>
      </w:r>
      <w:r w:rsidR="005C6E49" w:rsidRPr="005C6E49">
        <w:rPr>
          <w:i/>
          <w:iCs/>
        </w:rPr>
        <w:t xml:space="preserve"> </w:t>
      </w:r>
      <w:r w:rsidR="005C6E49" w:rsidRPr="005C6E49">
        <w:rPr>
          <w:rFonts w:hint="eastAsia"/>
          <w:i/>
          <w:iCs/>
        </w:rPr>
        <w:t>(</w:t>
      </w:r>
      <w:r w:rsidR="005C6E49" w:rsidRPr="005C6E49">
        <w:rPr>
          <w:i/>
          <w:iCs/>
        </w:rPr>
        <w:t>URLLC</w:t>
      </w:r>
      <w:r w:rsidR="005C6E49" w:rsidRPr="005C6E49">
        <w:rPr>
          <w:rFonts w:hint="eastAsia"/>
          <w:i/>
          <w:iCs/>
        </w:rPr>
        <w:t>)</w:t>
      </w:r>
      <w:bookmarkEnd w:id="3"/>
      <w:r w:rsidR="005C6E49" w:rsidRPr="005C6E49">
        <w:t>,” Huawei, HiSilicon, Jun. 2019</w:t>
      </w:r>
    </w:p>
    <w:p w14:paraId="00364BDD" w14:textId="77777777" w:rsidR="005C6E49" w:rsidRPr="007F486C" w:rsidRDefault="001D237F" w:rsidP="005C6E49">
      <w:pPr>
        <w:ind w:left="432" w:hanging="432"/>
        <w:textAlignment w:val="auto"/>
        <w:rPr>
          <w:highlight w:val="yellow"/>
        </w:rPr>
      </w:pPr>
      <w:r>
        <w:t>[3]</w:t>
      </w:r>
      <w:r>
        <w:tab/>
      </w:r>
      <w:r w:rsidR="005C6E49" w:rsidRPr="00153A11">
        <w:t xml:space="preserve">TS38.306, </w:t>
      </w:r>
      <w:r w:rsidR="005C6E49" w:rsidRPr="00FD4FC3">
        <w:t>NR; User Equipment (UE) radio access capabilities</w:t>
      </w:r>
    </w:p>
    <w:p w14:paraId="3E091DA6" w14:textId="5EEAB871" w:rsidR="005C6E49" w:rsidRPr="00375B9D" w:rsidRDefault="005C6E49" w:rsidP="005C6E49">
      <w:pPr>
        <w:ind w:left="432" w:hanging="432"/>
        <w:textAlignment w:val="auto"/>
      </w:pPr>
      <w:r w:rsidRPr="00153A11">
        <w:t>[</w:t>
      </w:r>
      <w:r>
        <w:t>4</w:t>
      </w:r>
      <w:r w:rsidRPr="00153A11">
        <w:t>]</w:t>
      </w:r>
      <w:r w:rsidRPr="00153A11">
        <w:tab/>
      </w:r>
      <w:r w:rsidRPr="005C6E49">
        <w:t>RP-200289</w:t>
      </w:r>
      <w:r w:rsidRPr="00153A11">
        <w:t>,</w:t>
      </w:r>
      <w:r>
        <w:t xml:space="preserve"> “</w:t>
      </w:r>
      <w:r w:rsidRPr="005C6E49">
        <w:rPr>
          <w:i/>
          <w:iCs/>
        </w:rPr>
        <w:t>Mapping of Rel-15 features to TS38.306</w:t>
      </w:r>
      <w:r>
        <w:t>,” Nokia, Nokia Shanghai Bell, Mar. 2020</w:t>
      </w:r>
    </w:p>
    <w:p w14:paraId="14ED3207" w14:textId="3E87A3F1" w:rsidR="001D237F" w:rsidRPr="00375B9D" w:rsidRDefault="001D237F" w:rsidP="003D0048">
      <w:pPr>
        <w:ind w:left="432" w:hanging="432"/>
        <w:textAlignment w:val="auto"/>
      </w:pP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 w:type="continuationNotice" w:id="1">
    <w:p w14:paraId="13F51365" w14:textId="77777777" w:rsidR="005E4642" w:rsidRDefault="005E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 w:type="continuationNotice" w:id="1">
    <w:p w14:paraId="599D1CC8" w14:textId="77777777" w:rsidR="005E4642" w:rsidRDefault="005E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452E21"/>
    <w:multiLevelType w:val="multilevel"/>
    <w:tmpl w:val="BF82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9"/>
  </w:num>
  <w:num w:numId="4">
    <w:abstractNumId w:val="18"/>
  </w:num>
  <w:num w:numId="5">
    <w:abstractNumId w:val="14"/>
  </w:num>
  <w:num w:numId="6">
    <w:abstractNumId w:val="0"/>
  </w:num>
  <w:num w:numId="7">
    <w:abstractNumId w:val="6"/>
  </w:num>
  <w:num w:numId="8">
    <w:abstractNumId w:val="2"/>
  </w:num>
  <w:num w:numId="9">
    <w:abstractNumId w:val="9"/>
  </w:num>
  <w:num w:numId="10">
    <w:abstractNumId w:val="16"/>
  </w:num>
  <w:num w:numId="11">
    <w:abstractNumId w:val="12"/>
  </w:num>
  <w:num w:numId="12">
    <w:abstractNumId w:val="5"/>
  </w:num>
  <w:num w:numId="13">
    <w:abstractNumId w:val="1"/>
  </w:num>
  <w:num w:numId="14">
    <w:abstractNumId w:val="13"/>
  </w:num>
  <w:num w:numId="15">
    <w:abstractNumId w:val="10"/>
  </w:num>
  <w:num w:numId="16">
    <w:abstractNumId w:val="4"/>
  </w:num>
  <w:num w:numId="17">
    <w:abstractNumId w:val="7"/>
  </w:num>
  <w:num w:numId="18">
    <w:abstractNumId w:val="3"/>
  </w:num>
  <w:num w:numId="19">
    <w:abstractNumId w:val="1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50B2"/>
    <w:rsid w:val="000C58F8"/>
    <w:rsid w:val="000C6060"/>
    <w:rsid w:val="000C6149"/>
    <w:rsid w:val="000C6AB1"/>
    <w:rsid w:val="000D2514"/>
    <w:rsid w:val="000D2A2E"/>
    <w:rsid w:val="000D3314"/>
    <w:rsid w:val="000D4ED9"/>
    <w:rsid w:val="000D5CC3"/>
    <w:rsid w:val="000D6169"/>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90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31AC"/>
    <w:rsid w:val="001B4360"/>
    <w:rsid w:val="001B456A"/>
    <w:rsid w:val="001B49A5"/>
    <w:rsid w:val="001B4B0F"/>
    <w:rsid w:val="001B7E82"/>
    <w:rsid w:val="001C19DF"/>
    <w:rsid w:val="001C28D1"/>
    <w:rsid w:val="001C37C6"/>
    <w:rsid w:val="001C4590"/>
    <w:rsid w:val="001C5C51"/>
    <w:rsid w:val="001C665A"/>
    <w:rsid w:val="001C67B1"/>
    <w:rsid w:val="001D0067"/>
    <w:rsid w:val="001D0660"/>
    <w:rsid w:val="001D0ED3"/>
    <w:rsid w:val="001D1E21"/>
    <w:rsid w:val="001D211A"/>
    <w:rsid w:val="001D237F"/>
    <w:rsid w:val="001D32B9"/>
    <w:rsid w:val="001D56D0"/>
    <w:rsid w:val="001E08A2"/>
    <w:rsid w:val="001E2A06"/>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046B"/>
    <w:rsid w:val="00223137"/>
    <w:rsid w:val="0022453E"/>
    <w:rsid w:val="002251F6"/>
    <w:rsid w:val="00225896"/>
    <w:rsid w:val="0022689E"/>
    <w:rsid w:val="00226DC7"/>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68"/>
    <w:rsid w:val="00244092"/>
    <w:rsid w:val="00245CE7"/>
    <w:rsid w:val="0025084C"/>
    <w:rsid w:val="00250B57"/>
    <w:rsid w:val="0025178F"/>
    <w:rsid w:val="00252B2E"/>
    <w:rsid w:val="00253BBD"/>
    <w:rsid w:val="00253FF8"/>
    <w:rsid w:val="002569CA"/>
    <w:rsid w:val="002601AD"/>
    <w:rsid w:val="0026234C"/>
    <w:rsid w:val="00262452"/>
    <w:rsid w:val="00262A29"/>
    <w:rsid w:val="00263ABB"/>
    <w:rsid w:val="00264844"/>
    <w:rsid w:val="00265E9F"/>
    <w:rsid w:val="00265FBA"/>
    <w:rsid w:val="00266694"/>
    <w:rsid w:val="002668E6"/>
    <w:rsid w:val="002671EA"/>
    <w:rsid w:val="00267AD3"/>
    <w:rsid w:val="00272A80"/>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39C7"/>
    <w:rsid w:val="002F435E"/>
    <w:rsid w:val="002F55FC"/>
    <w:rsid w:val="002F68FC"/>
    <w:rsid w:val="002F6B41"/>
    <w:rsid w:val="0030016B"/>
    <w:rsid w:val="0030249D"/>
    <w:rsid w:val="003032DB"/>
    <w:rsid w:val="00304922"/>
    <w:rsid w:val="0030664C"/>
    <w:rsid w:val="003067DF"/>
    <w:rsid w:val="0030772D"/>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69FF"/>
    <w:rsid w:val="003271CE"/>
    <w:rsid w:val="00331913"/>
    <w:rsid w:val="00334712"/>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4DA6"/>
    <w:rsid w:val="0036530D"/>
    <w:rsid w:val="00365E90"/>
    <w:rsid w:val="003673BF"/>
    <w:rsid w:val="003711EF"/>
    <w:rsid w:val="00371977"/>
    <w:rsid w:val="00371FD7"/>
    <w:rsid w:val="00372857"/>
    <w:rsid w:val="00372B7C"/>
    <w:rsid w:val="00373086"/>
    <w:rsid w:val="00375B9D"/>
    <w:rsid w:val="00375FC8"/>
    <w:rsid w:val="00376B13"/>
    <w:rsid w:val="003802A4"/>
    <w:rsid w:val="00381433"/>
    <w:rsid w:val="00382E93"/>
    <w:rsid w:val="0038476E"/>
    <w:rsid w:val="00386432"/>
    <w:rsid w:val="0038665A"/>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37DA1"/>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86893"/>
    <w:rsid w:val="00492D2E"/>
    <w:rsid w:val="004931E3"/>
    <w:rsid w:val="00493241"/>
    <w:rsid w:val="00493E44"/>
    <w:rsid w:val="00496BF6"/>
    <w:rsid w:val="004A0146"/>
    <w:rsid w:val="004A10E3"/>
    <w:rsid w:val="004A345B"/>
    <w:rsid w:val="004A39CE"/>
    <w:rsid w:val="004A40BE"/>
    <w:rsid w:val="004A6A9A"/>
    <w:rsid w:val="004A6EDC"/>
    <w:rsid w:val="004A75B8"/>
    <w:rsid w:val="004A7629"/>
    <w:rsid w:val="004B0642"/>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1F6E"/>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78"/>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5566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B58"/>
    <w:rsid w:val="005A2364"/>
    <w:rsid w:val="005A37BA"/>
    <w:rsid w:val="005A49F4"/>
    <w:rsid w:val="005A5552"/>
    <w:rsid w:val="005A5F44"/>
    <w:rsid w:val="005A601D"/>
    <w:rsid w:val="005A78CE"/>
    <w:rsid w:val="005A7D70"/>
    <w:rsid w:val="005B0627"/>
    <w:rsid w:val="005B2812"/>
    <w:rsid w:val="005B5523"/>
    <w:rsid w:val="005B7D95"/>
    <w:rsid w:val="005C11C8"/>
    <w:rsid w:val="005C378F"/>
    <w:rsid w:val="005C4B2A"/>
    <w:rsid w:val="005C4BA8"/>
    <w:rsid w:val="005C6E49"/>
    <w:rsid w:val="005D1ACB"/>
    <w:rsid w:val="005D5640"/>
    <w:rsid w:val="005D7699"/>
    <w:rsid w:val="005E2D8B"/>
    <w:rsid w:val="005E3172"/>
    <w:rsid w:val="005E3695"/>
    <w:rsid w:val="005E3795"/>
    <w:rsid w:val="005E3DD7"/>
    <w:rsid w:val="005E4642"/>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4CD9"/>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050B"/>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5C6B"/>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6B87"/>
    <w:rsid w:val="007427D3"/>
    <w:rsid w:val="007427ED"/>
    <w:rsid w:val="0074313A"/>
    <w:rsid w:val="007445D4"/>
    <w:rsid w:val="00744B0E"/>
    <w:rsid w:val="0074526D"/>
    <w:rsid w:val="00745951"/>
    <w:rsid w:val="00745AE6"/>
    <w:rsid w:val="007504B4"/>
    <w:rsid w:val="00752D8D"/>
    <w:rsid w:val="007539D3"/>
    <w:rsid w:val="00755373"/>
    <w:rsid w:val="00760622"/>
    <w:rsid w:val="00760A06"/>
    <w:rsid w:val="0076229E"/>
    <w:rsid w:val="00762561"/>
    <w:rsid w:val="00762A6C"/>
    <w:rsid w:val="00763560"/>
    <w:rsid w:val="007662D6"/>
    <w:rsid w:val="00766747"/>
    <w:rsid w:val="00767726"/>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E7F8D"/>
    <w:rsid w:val="007F083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18D7"/>
    <w:rsid w:val="00814517"/>
    <w:rsid w:val="0081492E"/>
    <w:rsid w:val="00814F06"/>
    <w:rsid w:val="00816136"/>
    <w:rsid w:val="00817488"/>
    <w:rsid w:val="00820364"/>
    <w:rsid w:val="0082109B"/>
    <w:rsid w:val="0082124F"/>
    <w:rsid w:val="00821808"/>
    <w:rsid w:val="0082205F"/>
    <w:rsid w:val="00822470"/>
    <w:rsid w:val="008239E4"/>
    <w:rsid w:val="008258E0"/>
    <w:rsid w:val="00825CC1"/>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862"/>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2259"/>
    <w:rsid w:val="0092416D"/>
    <w:rsid w:val="009279AB"/>
    <w:rsid w:val="009300E4"/>
    <w:rsid w:val="00932840"/>
    <w:rsid w:val="009328A4"/>
    <w:rsid w:val="00932B58"/>
    <w:rsid w:val="00933EAD"/>
    <w:rsid w:val="0093430A"/>
    <w:rsid w:val="0093633D"/>
    <w:rsid w:val="00937863"/>
    <w:rsid w:val="00940094"/>
    <w:rsid w:val="00942D22"/>
    <w:rsid w:val="00943373"/>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67D"/>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B2"/>
    <w:rsid w:val="009E3AF7"/>
    <w:rsid w:val="009E3F6C"/>
    <w:rsid w:val="009E70C6"/>
    <w:rsid w:val="009E7476"/>
    <w:rsid w:val="009F1735"/>
    <w:rsid w:val="009F1E50"/>
    <w:rsid w:val="009F3781"/>
    <w:rsid w:val="009F3895"/>
    <w:rsid w:val="009F46B4"/>
    <w:rsid w:val="009F4888"/>
    <w:rsid w:val="009F5AED"/>
    <w:rsid w:val="009F5D54"/>
    <w:rsid w:val="009F5DB7"/>
    <w:rsid w:val="009F6FFC"/>
    <w:rsid w:val="00A01035"/>
    <w:rsid w:val="00A013F7"/>
    <w:rsid w:val="00A028F0"/>
    <w:rsid w:val="00A03C4D"/>
    <w:rsid w:val="00A04DC4"/>
    <w:rsid w:val="00A0572E"/>
    <w:rsid w:val="00A063DE"/>
    <w:rsid w:val="00A1097E"/>
    <w:rsid w:val="00A10B40"/>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F0B"/>
    <w:rsid w:val="00A57663"/>
    <w:rsid w:val="00A57DD8"/>
    <w:rsid w:val="00A613AD"/>
    <w:rsid w:val="00A61761"/>
    <w:rsid w:val="00A61EE2"/>
    <w:rsid w:val="00A6226F"/>
    <w:rsid w:val="00A6236A"/>
    <w:rsid w:val="00A63972"/>
    <w:rsid w:val="00A64F9C"/>
    <w:rsid w:val="00A65F29"/>
    <w:rsid w:val="00A675FF"/>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876"/>
    <w:rsid w:val="00AA4A2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67E1"/>
    <w:rsid w:val="00AF7CB3"/>
    <w:rsid w:val="00B02DFA"/>
    <w:rsid w:val="00B03548"/>
    <w:rsid w:val="00B03A90"/>
    <w:rsid w:val="00B04587"/>
    <w:rsid w:val="00B04887"/>
    <w:rsid w:val="00B05907"/>
    <w:rsid w:val="00B06994"/>
    <w:rsid w:val="00B069B9"/>
    <w:rsid w:val="00B06D21"/>
    <w:rsid w:val="00B075E4"/>
    <w:rsid w:val="00B11CE2"/>
    <w:rsid w:val="00B15CC4"/>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4B33"/>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6F5D"/>
    <w:rsid w:val="00BB75D3"/>
    <w:rsid w:val="00BC0EAC"/>
    <w:rsid w:val="00BC172A"/>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E718C"/>
    <w:rsid w:val="00BF0C46"/>
    <w:rsid w:val="00BF122D"/>
    <w:rsid w:val="00BF27A1"/>
    <w:rsid w:val="00BF29BF"/>
    <w:rsid w:val="00BF428F"/>
    <w:rsid w:val="00BF7195"/>
    <w:rsid w:val="00C0131A"/>
    <w:rsid w:val="00C0278A"/>
    <w:rsid w:val="00C02EE3"/>
    <w:rsid w:val="00C03D86"/>
    <w:rsid w:val="00C04272"/>
    <w:rsid w:val="00C0436F"/>
    <w:rsid w:val="00C04831"/>
    <w:rsid w:val="00C128C3"/>
    <w:rsid w:val="00C13A47"/>
    <w:rsid w:val="00C14693"/>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1CD6"/>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4553"/>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3834"/>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1B29"/>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1F1"/>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744"/>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4CC1"/>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416F"/>
    <w:rsid w:val="00F84506"/>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493"/>
    <w:rsid w:val="00FD3B3D"/>
    <w:rsid w:val="00FD454F"/>
    <w:rsid w:val="00FD4AE8"/>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C1246E4"/>
  <w15:chartTrackingRefBased/>
  <w15:docId w15:val="{22E22CFB-2271-4634-8984-433415EB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qFormat/>
    <w:locked/>
    <w:rsid w:val="00871487"/>
    <w:rPr>
      <w:color w:val="000000"/>
      <w:lang w:val="en-GB" w:eastAsia="ja-JP"/>
    </w:rPr>
  </w:style>
  <w:style w:type="paragraph" w:customStyle="1" w:styleId="paragraph">
    <w:name w:val="paragraph"/>
    <w:basedOn w:val="Normal"/>
    <w:rsid w:val="0038665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38665A"/>
  </w:style>
  <w:style w:type="character" w:customStyle="1" w:styleId="eop">
    <w:name w:val="eop"/>
    <w:basedOn w:val="DefaultParagraphFont"/>
    <w:rsid w:val="0038665A"/>
  </w:style>
  <w:style w:type="character" w:customStyle="1" w:styleId="TALCar">
    <w:name w:val="TAL Car"/>
    <w:qFormat/>
    <w:rsid w:val="00BC17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8546063">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07BFEF19-D18E-4506-AEE2-404A3B0D244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109d699c-9c6d-4eef-ab81-bfe25224c215"/>
    <ds:schemaRef ds:uri="71c5aaf6-e6ce-465b-b873-5148d2a4c105"/>
    <ds:schemaRef ds:uri="http://purl.org/dc/elements/1.1/"/>
    <ds:schemaRef ds:uri="9b35e4af-6f1e-436f-9533-0c519f21b23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6F423634-62E5-41F4-8CFC-29C4DC06BEF6}">
  <ds:schemaRefs>
    <ds:schemaRef ds:uri="http://schemas.microsoft.com/sharepoint/events"/>
  </ds:schemaRefs>
</ds:datastoreItem>
</file>

<file path=customXml/itemProps6.xml><?xml version="1.0" encoding="utf-8"?>
<ds:datastoreItem xmlns:ds="http://schemas.openxmlformats.org/officeDocument/2006/customXml" ds:itemID="{5DB61B17-2E99-45E6-8AA2-33783B2B0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34BEEB-C93D-42CC-A55D-63D844A7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1071</Words>
  <Characters>5954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Ribeiro, Cassio (Nokia - FI/Espoo)</cp:lastModifiedBy>
  <cp:revision>10</cp:revision>
  <cp:lastPrinted>2003-09-26T18:29:00Z</cp:lastPrinted>
  <dcterms:created xsi:type="dcterms:W3CDTF">2020-03-10T13:31:00Z</dcterms:created>
  <dcterms:modified xsi:type="dcterms:W3CDTF">2020-03-11T19:55:00Z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